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AE5" w:rsidRPr="00394AE5" w:rsidRDefault="00394AE5" w:rsidP="00394AE5">
      <w:pPr>
        <w:autoSpaceDE w:val="0"/>
        <w:autoSpaceDN w:val="0"/>
        <w:adjustRightInd w:val="0"/>
        <w:spacing w:after="0" w:line="240" w:lineRule="auto"/>
        <w:contextualSpacing/>
        <w:rPr>
          <w:rFonts w:asciiTheme="majorHAnsi" w:hAnsiTheme="majorHAnsi" w:cs="Times New Roman"/>
          <w:sz w:val="24"/>
          <w:szCs w:val="24"/>
        </w:rPr>
      </w:pPr>
      <w:r w:rsidRPr="00394AE5">
        <w:rPr>
          <w:rFonts w:asciiTheme="majorHAnsi" w:hAnsiTheme="majorHAnsi" w:cs="Times New Roman"/>
          <w:sz w:val="24"/>
          <w:szCs w:val="24"/>
        </w:rPr>
        <w:t xml:space="preserve">Stipek, D. J. (2002). Defining and assessing achievement motivation. </w:t>
      </w:r>
      <w:r w:rsidRPr="00394AE5">
        <w:rPr>
          <w:rFonts w:asciiTheme="majorHAnsi" w:hAnsiTheme="majorHAnsi" w:cs="Times New Roman"/>
          <w:i/>
          <w:iCs/>
          <w:sz w:val="24"/>
          <w:szCs w:val="24"/>
        </w:rPr>
        <w:t>Motivation to learn: From theory to practice</w:t>
      </w:r>
      <w:r w:rsidRPr="00394AE5">
        <w:rPr>
          <w:rFonts w:asciiTheme="majorHAnsi" w:hAnsiTheme="majorHAnsi" w:cs="Times New Roman"/>
          <w:sz w:val="24"/>
          <w:szCs w:val="24"/>
        </w:rPr>
        <w:t xml:space="preserve"> (3rd ed., pp. 9-18). Boston: Allyn and Bacon.</w:t>
      </w:r>
    </w:p>
    <w:p w:rsidR="00394AE5" w:rsidRPr="00394AE5" w:rsidRDefault="00394AE5" w:rsidP="00394AE5">
      <w:pPr>
        <w:autoSpaceDE w:val="0"/>
        <w:autoSpaceDN w:val="0"/>
        <w:adjustRightInd w:val="0"/>
        <w:spacing w:after="0" w:line="240" w:lineRule="auto"/>
        <w:contextualSpacing/>
        <w:rPr>
          <w:rFonts w:asciiTheme="majorHAnsi" w:hAnsiTheme="majorHAnsi" w:cs="Times New Roman"/>
          <w:sz w:val="24"/>
          <w:szCs w:val="24"/>
        </w:rPr>
      </w:pPr>
    </w:p>
    <w:p w:rsidR="00045423" w:rsidRPr="00394AE5" w:rsidRDefault="00045423" w:rsidP="00394AE5">
      <w:pPr>
        <w:autoSpaceDE w:val="0"/>
        <w:autoSpaceDN w:val="0"/>
        <w:adjustRightInd w:val="0"/>
        <w:spacing w:after="0" w:line="240" w:lineRule="auto"/>
        <w:contextualSpacing/>
        <w:rPr>
          <w:rFonts w:asciiTheme="majorHAnsi" w:hAnsiTheme="majorHAnsi" w:cs="Times New Roman"/>
          <w:sz w:val="24"/>
          <w:szCs w:val="24"/>
        </w:rPr>
      </w:pPr>
      <w:r w:rsidRPr="00394AE5">
        <w:rPr>
          <w:rFonts w:asciiTheme="majorHAnsi" w:hAnsiTheme="majorHAnsi"/>
          <w:sz w:val="24"/>
          <w:szCs w:val="24"/>
        </w:rPr>
        <w:t>"</w:t>
      </w:r>
      <w:r w:rsidRPr="00394AE5">
        <w:rPr>
          <w:rFonts w:asciiTheme="majorHAnsi" w:hAnsiTheme="majorHAnsi" w:cs="Times New Roman"/>
          <w:sz w:val="24"/>
          <w:szCs w:val="24"/>
        </w:rPr>
        <w:t xml:space="preserve">Researchers and teachers working from an expectancy </w:t>
      </w:r>
      <w:r w:rsidRPr="00394AE5">
        <w:rPr>
          <w:rFonts w:asciiTheme="majorHAnsi" w:hAnsiTheme="majorHAnsi" w:cs="Times New Roman"/>
          <w:i/>
          <w:iCs/>
          <w:sz w:val="24"/>
          <w:szCs w:val="24"/>
        </w:rPr>
        <w:t xml:space="preserve">x </w:t>
      </w:r>
      <w:r w:rsidRPr="00394AE5">
        <w:rPr>
          <w:rFonts w:asciiTheme="majorHAnsi" w:hAnsiTheme="majorHAnsi" w:cs="Times New Roman"/>
          <w:sz w:val="24"/>
          <w:szCs w:val="24"/>
        </w:rPr>
        <w:t xml:space="preserve">value theoretical framework, therefore, would need to measure students' perceptions of the value of rewards in any effort to predict or change behavior." </w:t>
      </w:r>
    </w:p>
    <w:p w:rsidR="00045423" w:rsidRPr="00394AE5" w:rsidRDefault="00045423" w:rsidP="00394AE5">
      <w:pPr>
        <w:autoSpaceDE w:val="0"/>
        <w:autoSpaceDN w:val="0"/>
        <w:adjustRightInd w:val="0"/>
        <w:spacing w:after="0" w:line="240" w:lineRule="auto"/>
        <w:contextualSpacing/>
        <w:rPr>
          <w:rFonts w:asciiTheme="majorHAnsi" w:hAnsiTheme="majorHAnsi" w:cs="Times New Roman"/>
          <w:sz w:val="24"/>
          <w:szCs w:val="24"/>
        </w:rPr>
      </w:pPr>
    </w:p>
    <w:p w:rsidR="00045423" w:rsidRDefault="00045423" w:rsidP="00394AE5">
      <w:pPr>
        <w:autoSpaceDE w:val="0"/>
        <w:autoSpaceDN w:val="0"/>
        <w:adjustRightInd w:val="0"/>
        <w:spacing w:after="0" w:line="240" w:lineRule="auto"/>
        <w:contextualSpacing/>
        <w:rPr>
          <w:rFonts w:asciiTheme="majorHAnsi" w:hAnsiTheme="majorHAnsi" w:cs="Times New Roman"/>
          <w:bCs/>
          <w:sz w:val="24"/>
          <w:szCs w:val="24"/>
        </w:rPr>
      </w:pPr>
      <w:r w:rsidRPr="00394AE5">
        <w:rPr>
          <w:rFonts w:asciiTheme="majorHAnsi" w:hAnsiTheme="majorHAnsi" w:cs="Times New Roman"/>
          <w:sz w:val="24"/>
          <w:szCs w:val="24"/>
        </w:rPr>
        <w:t xml:space="preserve">"The remainder of this book is about the theories of motivation previously mentioned, the research based on them, and the practical implications of theory and research. Although most people are not knowledgeable of these psychological theories, everyone makes assumptions about why people behave the way they do, and their efforts to change others and even their own behaviors are based implicitly on the theories this book describes. This book, therefore, acquaints readers with the formal language and details of psychological theories that should already be a part of their naive explanations of behavior. A good understanding of these theoretical frameworks will make readers better, more thoughtful observers and predictors of behavior, and more effective </w:t>
      </w:r>
      <w:r w:rsidRPr="00394AE5">
        <w:rPr>
          <w:rFonts w:asciiTheme="majorHAnsi" w:hAnsiTheme="majorHAnsi" w:cs="Arial"/>
          <w:sz w:val="24"/>
          <w:szCs w:val="24"/>
        </w:rPr>
        <w:t xml:space="preserve">in </w:t>
      </w:r>
      <w:r w:rsidRPr="00394AE5">
        <w:rPr>
          <w:rFonts w:asciiTheme="majorHAnsi" w:hAnsiTheme="majorHAnsi" w:cs="Times New Roman"/>
          <w:sz w:val="24"/>
          <w:szCs w:val="24"/>
        </w:rPr>
        <w:t xml:space="preserve">their efforts to change their own and </w:t>
      </w:r>
      <w:r w:rsidRPr="00394AE5">
        <w:rPr>
          <w:rFonts w:asciiTheme="majorHAnsi" w:hAnsiTheme="majorHAnsi" w:cs="Times New Roman"/>
          <w:bCs/>
          <w:sz w:val="24"/>
          <w:szCs w:val="24"/>
        </w:rPr>
        <w:t>influence others' motivation in achievement contexts."</w:t>
      </w:r>
    </w:p>
    <w:p w:rsidR="00FF1698" w:rsidRDefault="00FF1698" w:rsidP="00394AE5">
      <w:pPr>
        <w:autoSpaceDE w:val="0"/>
        <w:autoSpaceDN w:val="0"/>
        <w:adjustRightInd w:val="0"/>
        <w:spacing w:after="0" w:line="240" w:lineRule="auto"/>
        <w:contextualSpacing/>
        <w:rPr>
          <w:rFonts w:asciiTheme="majorHAnsi" w:hAnsiTheme="majorHAnsi" w:cs="Times New Roman"/>
          <w:bCs/>
          <w:sz w:val="24"/>
          <w:szCs w:val="24"/>
        </w:rPr>
      </w:pPr>
    </w:p>
    <w:p w:rsidR="00FF1698" w:rsidRDefault="00FF1698" w:rsidP="00394AE5">
      <w:pPr>
        <w:autoSpaceDE w:val="0"/>
        <w:autoSpaceDN w:val="0"/>
        <w:adjustRightInd w:val="0"/>
        <w:spacing w:after="0" w:line="240" w:lineRule="auto"/>
        <w:contextualSpacing/>
        <w:rPr>
          <w:rFonts w:asciiTheme="majorHAnsi" w:hAnsiTheme="majorHAnsi" w:cs="Times New Roman"/>
          <w:bCs/>
          <w:sz w:val="24"/>
          <w:szCs w:val="24"/>
        </w:rPr>
      </w:pPr>
    </w:p>
    <w:p w:rsidR="00FF1698" w:rsidRDefault="00FF1698" w:rsidP="00394AE5">
      <w:pPr>
        <w:autoSpaceDE w:val="0"/>
        <w:autoSpaceDN w:val="0"/>
        <w:adjustRightInd w:val="0"/>
        <w:spacing w:after="0" w:line="240" w:lineRule="auto"/>
        <w:contextualSpacing/>
        <w:rPr>
          <w:rFonts w:asciiTheme="majorHAnsi" w:hAnsiTheme="majorHAnsi" w:cs="Times New Roman"/>
          <w:bCs/>
          <w:sz w:val="24"/>
          <w:szCs w:val="24"/>
        </w:rPr>
      </w:pPr>
    </w:p>
    <w:p w:rsidR="00FF1698" w:rsidRDefault="00FF1698" w:rsidP="00394AE5">
      <w:pPr>
        <w:autoSpaceDE w:val="0"/>
        <w:autoSpaceDN w:val="0"/>
        <w:adjustRightInd w:val="0"/>
        <w:spacing w:after="0" w:line="240" w:lineRule="auto"/>
        <w:contextualSpacing/>
        <w:rPr>
          <w:rFonts w:asciiTheme="majorHAnsi" w:hAnsiTheme="majorHAnsi" w:cs="Times New Roman"/>
          <w:bCs/>
          <w:sz w:val="24"/>
          <w:szCs w:val="24"/>
        </w:rPr>
      </w:pPr>
    </w:p>
    <w:p w:rsidR="00394AE5" w:rsidRPr="00394AE5" w:rsidRDefault="00394AE5" w:rsidP="00394AE5">
      <w:pPr>
        <w:autoSpaceDE w:val="0"/>
        <w:autoSpaceDN w:val="0"/>
        <w:adjustRightInd w:val="0"/>
        <w:spacing w:after="0" w:line="240" w:lineRule="auto"/>
        <w:ind w:left="720" w:hanging="720"/>
        <w:contextualSpacing/>
        <w:rPr>
          <w:rFonts w:asciiTheme="majorHAnsi" w:hAnsiTheme="majorHAnsi" w:cs="Cambria"/>
          <w:sz w:val="24"/>
          <w:szCs w:val="24"/>
        </w:rPr>
      </w:pPr>
      <w:r w:rsidRPr="00394AE5">
        <w:rPr>
          <w:rFonts w:asciiTheme="majorHAnsi" w:hAnsiTheme="majorHAnsi" w:cs="Cambria"/>
          <w:sz w:val="24"/>
          <w:szCs w:val="24"/>
        </w:rPr>
        <w:t xml:space="preserve">Fang, Z. (1996). A review of research on teacher beliefs and practices. </w:t>
      </w:r>
      <w:r w:rsidRPr="00394AE5">
        <w:rPr>
          <w:rFonts w:asciiTheme="majorHAnsi" w:hAnsiTheme="majorHAnsi" w:cs="Cambria"/>
          <w:i/>
          <w:iCs/>
          <w:sz w:val="24"/>
          <w:szCs w:val="24"/>
        </w:rPr>
        <w:t>Educational Research, 38</w:t>
      </w:r>
      <w:r w:rsidRPr="00394AE5">
        <w:rPr>
          <w:rFonts w:asciiTheme="majorHAnsi" w:hAnsiTheme="majorHAnsi" w:cs="Cambria"/>
          <w:sz w:val="24"/>
          <w:szCs w:val="24"/>
        </w:rPr>
        <w:t xml:space="preserve">(1), 47-65. </w:t>
      </w:r>
    </w:p>
    <w:p w:rsidR="00394AE5" w:rsidRPr="00394AE5" w:rsidRDefault="00394AE5" w:rsidP="00394AE5">
      <w:pPr>
        <w:autoSpaceDE w:val="0"/>
        <w:autoSpaceDN w:val="0"/>
        <w:adjustRightInd w:val="0"/>
        <w:spacing w:after="0" w:line="240" w:lineRule="auto"/>
        <w:ind w:left="720" w:hanging="720"/>
        <w:contextualSpacing/>
        <w:rPr>
          <w:rFonts w:asciiTheme="majorHAnsi" w:hAnsiTheme="majorHAnsi" w:cs="Cambria"/>
          <w:sz w:val="24"/>
          <w:szCs w:val="24"/>
        </w:rPr>
      </w:pPr>
    </w:p>
    <w:p w:rsidR="00045423" w:rsidRPr="00394AE5" w:rsidRDefault="00045423" w:rsidP="00394AE5">
      <w:pPr>
        <w:autoSpaceDE w:val="0"/>
        <w:autoSpaceDN w:val="0"/>
        <w:adjustRightInd w:val="0"/>
        <w:spacing w:after="0" w:line="240" w:lineRule="auto"/>
        <w:contextualSpacing/>
        <w:rPr>
          <w:rFonts w:asciiTheme="majorHAnsi" w:hAnsiTheme="majorHAnsi" w:cs="Times New Roman"/>
          <w:b/>
          <w:bCs/>
          <w:sz w:val="24"/>
          <w:szCs w:val="24"/>
        </w:rPr>
      </w:pPr>
      <w:r w:rsidRPr="00394AE5">
        <w:rPr>
          <w:rFonts w:asciiTheme="majorHAnsi" w:hAnsiTheme="majorHAnsi" w:cs="Times New Roman"/>
          <w:b/>
          <w:bCs/>
          <w:sz w:val="24"/>
          <w:szCs w:val="24"/>
        </w:rPr>
        <w:t>"Theoretical frameworks</w:t>
      </w:r>
    </w:p>
    <w:p w:rsidR="00045423" w:rsidRPr="00394AE5" w:rsidRDefault="00045423" w:rsidP="00394AE5">
      <w:pPr>
        <w:autoSpaceDE w:val="0"/>
        <w:autoSpaceDN w:val="0"/>
        <w:adjustRightInd w:val="0"/>
        <w:spacing w:after="0" w:line="240" w:lineRule="auto"/>
        <w:contextualSpacing/>
        <w:rPr>
          <w:rFonts w:asciiTheme="majorHAnsi" w:hAnsiTheme="majorHAnsi" w:cs="Times New Roman"/>
          <w:sz w:val="24"/>
          <w:szCs w:val="24"/>
        </w:rPr>
      </w:pPr>
      <w:r w:rsidRPr="00394AE5">
        <w:rPr>
          <w:rFonts w:asciiTheme="majorHAnsi" w:hAnsiTheme="majorHAnsi" w:cs="Times New Roman"/>
          <w:sz w:val="24"/>
          <w:szCs w:val="24"/>
        </w:rPr>
        <w:t xml:space="preserve">According to </w:t>
      </w:r>
      <w:proofErr w:type="spellStart"/>
      <w:r w:rsidRPr="00394AE5">
        <w:rPr>
          <w:rFonts w:asciiTheme="majorHAnsi" w:hAnsiTheme="majorHAnsi" w:cs="Times New Roman"/>
          <w:sz w:val="24"/>
          <w:szCs w:val="24"/>
        </w:rPr>
        <w:t>Sedlak</w:t>
      </w:r>
      <w:proofErr w:type="spellEnd"/>
      <w:r w:rsidRPr="00394AE5">
        <w:rPr>
          <w:rFonts w:asciiTheme="majorHAnsi" w:hAnsiTheme="majorHAnsi" w:cs="Times New Roman"/>
          <w:sz w:val="24"/>
          <w:szCs w:val="24"/>
        </w:rPr>
        <w:t xml:space="preserve"> (1987), many people including educators hold a simplistic 'bright-person' model of teaching. They see instruction as the delivery of information and the decoding of that  information as the responsibility of students. Thus the 'teacher's responsibility basically ends when they have told students what they must remember to know and do' </w:t>
      </w:r>
      <w:r w:rsidRPr="00394AE5">
        <w:rPr>
          <w:rFonts w:asciiTheme="majorHAnsi" w:hAnsiTheme="majorHAnsi" w:cs="Arial"/>
          <w:i/>
          <w:iCs/>
          <w:sz w:val="24"/>
          <w:szCs w:val="24"/>
        </w:rPr>
        <w:t xml:space="preserve">(ibid., </w:t>
      </w:r>
      <w:r w:rsidRPr="00394AE5">
        <w:rPr>
          <w:rFonts w:asciiTheme="majorHAnsi" w:hAnsiTheme="majorHAnsi" w:cs="Times New Roman"/>
          <w:sz w:val="24"/>
          <w:szCs w:val="24"/>
        </w:rPr>
        <w:t xml:space="preserve">p. 320). That is, teachers are viewed as masters of subject-matter content knowledge. The issue of how to translate this knowledge for students seems to Test outside the scope of teachers' responsibility. Others (e.g. Jackson, 1986; Lortie, 1975) have suggested that many teachers proceed on impulse and intuition in teaching, relying on personal experience rather than on reflective thought and professional education. </w:t>
      </w:r>
      <w:r w:rsidRPr="00394AE5">
        <w:rPr>
          <w:rFonts w:asciiTheme="majorHAnsi" w:hAnsiTheme="majorHAnsi" w:cs="Times New Roman"/>
          <w:b/>
          <w:bCs/>
          <w:sz w:val="24"/>
          <w:szCs w:val="24"/>
        </w:rPr>
        <w:t xml:space="preserve">In </w:t>
      </w:r>
      <w:r w:rsidRPr="00394AE5">
        <w:rPr>
          <w:rFonts w:asciiTheme="majorHAnsi" w:hAnsiTheme="majorHAnsi" w:cs="Times New Roman"/>
          <w:sz w:val="24"/>
          <w:szCs w:val="24"/>
        </w:rPr>
        <w:t>reality, O'Brien and Stewart (1990) also found that many preservice teachers expressed the feeling that much of content reading instruction, or for that matter teaching in general, is common sense and common practice." –pp. 50-51</w:t>
      </w:r>
    </w:p>
    <w:p w:rsidR="00045423" w:rsidRPr="00394AE5" w:rsidRDefault="00045423" w:rsidP="00394AE5">
      <w:pPr>
        <w:autoSpaceDE w:val="0"/>
        <w:autoSpaceDN w:val="0"/>
        <w:adjustRightInd w:val="0"/>
        <w:spacing w:after="0" w:line="240" w:lineRule="auto"/>
        <w:ind w:left="720" w:hanging="720"/>
        <w:contextualSpacing/>
        <w:rPr>
          <w:rFonts w:asciiTheme="majorHAnsi" w:hAnsiTheme="majorHAnsi" w:cs="Cambria"/>
          <w:sz w:val="24"/>
          <w:szCs w:val="24"/>
        </w:rPr>
      </w:pPr>
    </w:p>
    <w:p w:rsidR="00045423" w:rsidRPr="00394AE5" w:rsidRDefault="00045423" w:rsidP="00394AE5">
      <w:pPr>
        <w:contextualSpacing/>
        <w:rPr>
          <w:rFonts w:asciiTheme="majorHAnsi" w:hAnsiTheme="majorHAnsi" w:cs="Cambria"/>
          <w:sz w:val="24"/>
          <w:szCs w:val="24"/>
        </w:rPr>
      </w:pPr>
      <w:r w:rsidRPr="00394AE5">
        <w:rPr>
          <w:rFonts w:asciiTheme="majorHAnsi" w:hAnsiTheme="majorHAnsi" w:cs="Cambria"/>
          <w:sz w:val="24"/>
          <w:szCs w:val="24"/>
        </w:rPr>
        <w:br w:type="page"/>
      </w:r>
    </w:p>
    <w:p w:rsidR="00394AE5" w:rsidRPr="00394AE5" w:rsidRDefault="00394AE5" w:rsidP="00394AE5">
      <w:pPr>
        <w:autoSpaceDE w:val="0"/>
        <w:autoSpaceDN w:val="0"/>
        <w:adjustRightInd w:val="0"/>
        <w:spacing w:after="0" w:line="240" w:lineRule="auto"/>
        <w:ind w:left="720" w:hanging="720"/>
        <w:contextualSpacing/>
        <w:rPr>
          <w:rFonts w:asciiTheme="majorHAnsi" w:hAnsiTheme="majorHAnsi" w:cs="Cambria"/>
          <w:sz w:val="24"/>
          <w:szCs w:val="24"/>
        </w:rPr>
      </w:pPr>
      <w:r w:rsidRPr="00394AE5">
        <w:rPr>
          <w:rFonts w:asciiTheme="majorHAnsi" w:hAnsiTheme="majorHAnsi" w:cs="Cambria"/>
          <w:sz w:val="24"/>
          <w:szCs w:val="24"/>
        </w:rPr>
        <w:lastRenderedPageBreak/>
        <w:t xml:space="preserve">Grossman, P. L., Smagorinsky, P., &amp; Valencia, S. (1999). Appropriating tools for teaching English: A theoretical framework for research on learning to teach. . </w:t>
      </w:r>
      <w:r w:rsidRPr="00394AE5">
        <w:rPr>
          <w:rFonts w:asciiTheme="majorHAnsi" w:hAnsiTheme="majorHAnsi" w:cs="Cambria"/>
          <w:i/>
          <w:iCs/>
          <w:sz w:val="24"/>
          <w:szCs w:val="24"/>
        </w:rPr>
        <w:t>American Journal of Education, 108</w:t>
      </w:r>
      <w:r w:rsidRPr="00394AE5">
        <w:rPr>
          <w:rFonts w:asciiTheme="majorHAnsi" w:hAnsiTheme="majorHAnsi" w:cs="Cambria"/>
          <w:sz w:val="24"/>
          <w:szCs w:val="24"/>
        </w:rPr>
        <w:t xml:space="preserve">(1), 1-29. </w:t>
      </w:r>
    </w:p>
    <w:p w:rsidR="00394AE5" w:rsidRPr="00394AE5" w:rsidRDefault="00394AE5" w:rsidP="00394AE5">
      <w:pPr>
        <w:autoSpaceDE w:val="0"/>
        <w:autoSpaceDN w:val="0"/>
        <w:adjustRightInd w:val="0"/>
        <w:spacing w:after="0" w:line="240" w:lineRule="auto"/>
        <w:ind w:left="720" w:hanging="720"/>
        <w:contextualSpacing/>
        <w:rPr>
          <w:rFonts w:asciiTheme="majorHAnsi" w:hAnsiTheme="majorHAnsi" w:cs="Cambria"/>
          <w:sz w:val="24"/>
          <w:szCs w:val="24"/>
        </w:rPr>
      </w:pPr>
    </w:p>
    <w:p w:rsidR="00045423" w:rsidRPr="00394AE5" w:rsidRDefault="00045423" w:rsidP="00394AE5">
      <w:pPr>
        <w:autoSpaceDE w:val="0"/>
        <w:autoSpaceDN w:val="0"/>
        <w:adjustRightInd w:val="0"/>
        <w:spacing w:after="0" w:line="240" w:lineRule="auto"/>
        <w:contextualSpacing/>
        <w:rPr>
          <w:rFonts w:asciiTheme="majorHAnsi" w:hAnsiTheme="majorHAnsi" w:cs="Times New Roman"/>
          <w:sz w:val="24"/>
          <w:szCs w:val="24"/>
        </w:rPr>
      </w:pPr>
      <w:r w:rsidRPr="00394AE5">
        <w:rPr>
          <w:rFonts w:asciiTheme="majorHAnsi" w:hAnsiTheme="majorHAnsi" w:cs="Cambria"/>
          <w:sz w:val="24"/>
          <w:szCs w:val="24"/>
        </w:rPr>
        <w:t>"</w:t>
      </w:r>
      <w:r w:rsidRPr="00394AE5">
        <w:rPr>
          <w:rFonts w:asciiTheme="majorHAnsi" w:hAnsiTheme="majorHAnsi" w:cs="Times New Roman"/>
          <w:sz w:val="24"/>
          <w:szCs w:val="24"/>
        </w:rPr>
        <w:t>In this article, we propose that activity theory provides a useful framework for studying teachers' professional development. Activity theory emphasizes the importance of settings in learning to teach, focusing on the social and cultural factors that mediate development in particular contexts. We outline the central tenets of activity theory, illustrating key concepts with examples from a longitudinal study of beginning teachers. We conclude by exploring the potential of this theoretical framework to illuminate the process of learning to teach." –p 1</w:t>
      </w:r>
    </w:p>
    <w:p w:rsidR="00394AE5" w:rsidRPr="00394AE5" w:rsidRDefault="00394AE5" w:rsidP="00394AE5">
      <w:pPr>
        <w:autoSpaceDE w:val="0"/>
        <w:autoSpaceDN w:val="0"/>
        <w:adjustRightInd w:val="0"/>
        <w:spacing w:after="0" w:line="240" w:lineRule="auto"/>
        <w:contextualSpacing/>
        <w:rPr>
          <w:rFonts w:asciiTheme="majorHAnsi" w:hAnsiTheme="majorHAnsi" w:cs="Times New Roman"/>
          <w:sz w:val="24"/>
          <w:szCs w:val="24"/>
        </w:rPr>
      </w:pPr>
    </w:p>
    <w:p w:rsidR="00045423" w:rsidRPr="00394AE5" w:rsidRDefault="00045423" w:rsidP="00394AE5">
      <w:pPr>
        <w:autoSpaceDE w:val="0"/>
        <w:autoSpaceDN w:val="0"/>
        <w:adjustRightInd w:val="0"/>
        <w:spacing w:after="0" w:line="240" w:lineRule="auto"/>
        <w:contextualSpacing/>
        <w:rPr>
          <w:rFonts w:asciiTheme="majorHAnsi" w:hAnsiTheme="majorHAnsi" w:cs="Times New Roman"/>
          <w:sz w:val="24"/>
          <w:szCs w:val="24"/>
        </w:rPr>
      </w:pPr>
      <w:r w:rsidRPr="00394AE5">
        <w:rPr>
          <w:rFonts w:asciiTheme="majorHAnsi" w:hAnsiTheme="majorHAnsi" w:cs="Times New Roman"/>
          <w:sz w:val="24"/>
          <w:szCs w:val="24"/>
        </w:rPr>
        <w:t xml:space="preserve">"In this article, we propose that, by using a different theoretical framework for studying teachers' early career development than has been used thus far-one generally known as activity theory we can view these findings as less contradictory and more as pieces to a larger puzzle. </w:t>
      </w:r>
      <w:r w:rsidR="00FF1698">
        <w:rPr>
          <w:rFonts w:asciiTheme="majorHAnsi" w:hAnsiTheme="majorHAnsi" w:cs="Times New Roman"/>
          <w:sz w:val="24"/>
          <w:szCs w:val="24"/>
        </w:rPr>
        <w:t>W</w:t>
      </w:r>
      <w:r w:rsidRPr="00394AE5">
        <w:rPr>
          <w:rFonts w:asciiTheme="majorHAnsi" w:hAnsiTheme="majorHAnsi" w:cs="Times New Roman"/>
          <w:sz w:val="24"/>
          <w:szCs w:val="24"/>
        </w:rPr>
        <w:t xml:space="preserve">e illustrate activity theory with examples from our current research, out- primary purpose in this article is to (1) articulate the tenets of activity theory, (2) discuss its potential for understanding the process of learning to teach, and </w:t>
      </w:r>
      <w:r w:rsidRPr="00394AE5">
        <w:rPr>
          <w:rFonts w:asciiTheme="majorHAnsi" w:hAnsiTheme="majorHAnsi" w:cs="Times New Roman"/>
          <w:b/>
          <w:bCs/>
          <w:sz w:val="24"/>
          <w:szCs w:val="24"/>
        </w:rPr>
        <w:t xml:space="preserve">(3) </w:t>
      </w:r>
      <w:r w:rsidRPr="00394AE5">
        <w:rPr>
          <w:rFonts w:asciiTheme="majorHAnsi" w:hAnsiTheme="majorHAnsi" w:cs="Times New Roman"/>
          <w:sz w:val="24"/>
          <w:szCs w:val="24"/>
        </w:rPr>
        <w:t>discuss its usefulness in creating dynamic settings to foster early career teacher development." –p. 5</w:t>
      </w:r>
    </w:p>
    <w:p w:rsidR="00045423" w:rsidRPr="00394AE5" w:rsidRDefault="00045423" w:rsidP="00394AE5">
      <w:pPr>
        <w:autoSpaceDE w:val="0"/>
        <w:autoSpaceDN w:val="0"/>
        <w:adjustRightInd w:val="0"/>
        <w:spacing w:after="0" w:line="240" w:lineRule="auto"/>
        <w:contextualSpacing/>
        <w:rPr>
          <w:rFonts w:asciiTheme="majorHAnsi" w:hAnsiTheme="majorHAnsi" w:cs="Times New Roman"/>
          <w:sz w:val="24"/>
          <w:szCs w:val="24"/>
        </w:rPr>
      </w:pPr>
    </w:p>
    <w:p w:rsidR="00045423" w:rsidRPr="00394AE5" w:rsidRDefault="00045423" w:rsidP="00394AE5">
      <w:pPr>
        <w:autoSpaceDE w:val="0"/>
        <w:autoSpaceDN w:val="0"/>
        <w:adjustRightInd w:val="0"/>
        <w:spacing w:after="0" w:line="240" w:lineRule="auto"/>
        <w:contextualSpacing/>
        <w:rPr>
          <w:rFonts w:asciiTheme="majorHAnsi" w:hAnsiTheme="majorHAnsi" w:cs="Times New Roman"/>
          <w:sz w:val="24"/>
          <w:szCs w:val="24"/>
        </w:rPr>
      </w:pPr>
      <w:r w:rsidRPr="00394AE5">
        <w:rPr>
          <w:rFonts w:asciiTheme="majorHAnsi" w:hAnsiTheme="majorHAnsi" w:cs="Times New Roman"/>
          <w:sz w:val="24"/>
          <w:szCs w:val="24"/>
        </w:rPr>
        <w:t>"</w:t>
      </w:r>
      <w:proofErr w:type="spellStart"/>
      <w:r w:rsidRPr="00394AE5">
        <w:rPr>
          <w:rFonts w:asciiTheme="majorHAnsi" w:hAnsiTheme="majorHAnsi" w:cs="Times New Roman"/>
          <w:sz w:val="24"/>
          <w:szCs w:val="24"/>
        </w:rPr>
        <w:t>Wertsch</w:t>
      </w:r>
      <w:proofErr w:type="spellEnd"/>
      <w:r w:rsidRPr="00394AE5">
        <w:rPr>
          <w:rFonts w:asciiTheme="majorHAnsi" w:hAnsiTheme="majorHAnsi" w:cs="Times New Roman"/>
          <w:sz w:val="24"/>
          <w:szCs w:val="24"/>
        </w:rPr>
        <w:t xml:space="preserve"> (1985) identifies three themes as central in Vygotsky's theoretical framework: a reliance on a genetic (developmental) method, an assumption of the social origins of consciousness, and a claim that mental processes are mediated by tools and signs." –p. 7</w:t>
      </w:r>
    </w:p>
    <w:p w:rsidR="00045423" w:rsidRPr="00394AE5" w:rsidRDefault="00045423" w:rsidP="00394AE5">
      <w:pPr>
        <w:autoSpaceDE w:val="0"/>
        <w:autoSpaceDN w:val="0"/>
        <w:adjustRightInd w:val="0"/>
        <w:spacing w:after="0" w:line="240" w:lineRule="auto"/>
        <w:ind w:left="720" w:hanging="720"/>
        <w:contextualSpacing/>
        <w:rPr>
          <w:rFonts w:asciiTheme="majorHAnsi" w:hAnsiTheme="majorHAnsi" w:cs="Cambria"/>
          <w:sz w:val="24"/>
          <w:szCs w:val="24"/>
        </w:rPr>
      </w:pPr>
    </w:p>
    <w:p w:rsidR="00045423" w:rsidRPr="00394AE5" w:rsidRDefault="00045423" w:rsidP="00394AE5">
      <w:pPr>
        <w:contextualSpacing/>
        <w:rPr>
          <w:rFonts w:asciiTheme="majorHAnsi" w:hAnsiTheme="majorHAnsi" w:cs="Times New Roman"/>
          <w:sz w:val="24"/>
          <w:szCs w:val="24"/>
        </w:rPr>
      </w:pPr>
      <w:r w:rsidRPr="00394AE5">
        <w:rPr>
          <w:rFonts w:asciiTheme="majorHAnsi" w:hAnsiTheme="majorHAnsi" w:cs="Times New Roman"/>
          <w:sz w:val="24"/>
          <w:szCs w:val="24"/>
        </w:rPr>
        <w:br w:type="page"/>
      </w:r>
    </w:p>
    <w:p w:rsidR="00045423" w:rsidRPr="00394AE5" w:rsidRDefault="00045423" w:rsidP="00394AE5">
      <w:pPr>
        <w:autoSpaceDE w:val="0"/>
        <w:autoSpaceDN w:val="0"/>
        <w:adjustRightInd w:val="0"/>
        <w:spacing w:after="0" w:line="240" w:lineRule="auto"/>
        <w:ind w:left="720" w:hanging="720"/>
        <w:contextualSpacing/>
        <w:rPr>
          <w:rFonts w:asciiTheme="majorHAnsi" w:hAnsiTheme="majorHAnsi" w:cs="Cambria"/>
          <w:sz w:val="24"/>
          <w:szCs w:val="24"/>
        </w:rPr>
      </w:pPr>
      <w:r w:rsidRPr="00394AE5">
        <w:rPr>
          <w:rFonts w:asciiTheme="majorHAnsi" w:hAnsiTheme="majorHAnsi" w:cs="Cambria"/>
          <w:sz w:val="24"/>
          <w:szCs w:val="24"/>
        </w:rPr>
        <w:lastRenderedPageBreak/>
        <w:t xml:space="preserve">Tseng, V., &amp; </w:t>
      </w:r>
      <w:proofErr w:type="spellStart"/>
      <w:r w:rsidRPr="00394AE5">
        <w:rPr>
          <w:rFonts w:asciiTheme="majorHAnsi" w:hAnsiTheme="majorHAnsi" w:cs="Cambria"/>
          <w:sz w:val="24"/>
          <w:szCs w:val="24"/>
        </w:rPr>
        <w:t>Seidman</w:t>
      </w:r>
      <w:proofErr w:type="spellEnd"/>
      <w:r w:rsidRPr="00394AE5">
        <w:rPr>
          <w:rFonts w:asciiTheme="majorHAnsi" w:hAnsiTheme="majorHAnsi" w:cs="Cambria"/>
          <w:sz w:val="24"/>
          <w:szCs w:val="24"/>
        </w:rPr>
        <w:t xml:space="preserve">, E. (2007). A systems framework for understanding social settings. </w:t>
      </w:r>
      <w:r w:rsidRPr="00394AE5">
        <w:rPr>
          <w:rFonts w:asciiTheme="majorHAnsi" w:hAnsiTheme="majorHAnsi" w:cs="Cambria"/>
          <w:i/>
          <w:iCs/>
          <w:sz w:val="24"/>
          <w:szCs w:val="24"/>
        </w:rPr>
        <w:t>American Journal of Community Psychology, 39</w:t>
      </w:r>
      <w:r w:rsidRPr="00394AE5">
        <w:rPr>
          <w:rFonts w:asciiTheme="majorHAnsi" w:hAnsiTheme="majorHAnsi" w:cs="Cambria"/>
          <w:sz w:val="24"/>
          <w:szCs w:val="24"/>
        </w:rPr>
        <w:t xml:space="preserve">, 217-228. </w:t>
      </w:r>
    </w:p>
    <w:p w:rsidR="00045423" w:rsidRPr="00394AE5" w:rsidRDefault="00045423" w:rsidP="00394AE5">
      <w:pPr>
        <w:contextualSpacing/>
        <w:rPr>
          <w:rFonts w:asciiTheme="majorHAnsi" w:hAnsiTheme="majorHAnsi" w:cs="Times New Roman"/>
          <w:sz w:val="24"/>
          <w:szCs w:val="24"/>
        </w:rPr>
      </w:pPr>
    </w:p>
    <w:p w:rsidR="00045423" w:rsidRPr="00394AE5" w:rsidRDefault="00045423" w:rsidP="00394AE5">
      <w:pPr>
        <w:autoSpaceDE w:val="0"/>
        <w:autoSpaceDN w:val="0"/>
        <w:adjustRightInd w:val="0"/>
        <w:spacing w:after="0" w:line="240" w:lineRule="auto"/>
        <w:contextualSpacing/>
        <w:rPr>
          <w:rFonts w:asciiTheme="majorHAnsi" w:hAnsiTheme="majorHAnsi" w:cs="Times New Roman"/>
          <w:sz w:val="24"/>
          <w:szCs w:val="24"/>
        </w:rPr>
      </w:pPr>
      <w:r w:rsidRPr="00394AE5">
        <w:rPr>
          <w:rFonts w:asciiTheme="majorHAnsi" w:hAnsiTheme="majorHAnsi" w:cs="Times New Roman"/>
          <w:sz w:val="24"/>
          <w:szCs w:val="24"/>
        </w:rPr>
        <w:t>"</w:t>
      </w:r>
      <w:r w:rsidRPr="00394AE5">
        <w:rPr>
          <w:rFonts w:asciiTheme="majorHAnsi" w:hAnsiTheme="majorHAnsi" w:cs="AdvPTimes"/>
          <w:sz w:val="24"/>
          <w:szCs w:val="24"/>
        </w:rPr>
        <w:t xml:space="preserve">In this paper, we argue that attempts to change social settings have been hindered by lack of theoretical advances in understanding key aspects of social settings and how they work in a dynamic system. We present a systems framework for understanding youths’ social settings. We focus on three aspects of settings that represent intervention targets: </w:t>
      </w:r>
      <w:r w:rsidRPr="00394AE5">
        <w:rPr>
          <w:rFonts w:asciiTheme="majorHAnsi" w:hAnsiTheme="majorHAnsi" w:cs="AdvPTimesI"/>
          <w:sz w:val="24"/>
          <w:szCs w:val="24"/>
        </w:rPr>
        <w:t xml:space="preserve">social processes </w:t>
      </w:r>
      <w:r w:rsidRPr="00394AE5">
        <w:rPr>
          <w:rFonts w:asciiTheme="majorHAnsi" w:hAnsiTheme="majorHAnsi" w:cs="AdvPTimes"/>
          <w:sz w:val="24"/>
          <w:szCs w:val="24"/>
        </w:rPr>
        <w:t xml:space="preserve">(i.e., patterns of transactions between two or more people or groups of people), </w:t>
      </w:r>
      <w:r w:rsidRPr="00394AE5">
        <w:rPr>
          <w:rFonts w:asciiTheme="majorHAnsi" w:hAnsiTheme="majorHAnsi" w:cs="AdvPTimesI"/>
          <w:sz w:val="24"/>
          <w:szCs w:val="24"/>
        </w:rPr>
        <w:t xml:space="preserve">resources </w:t>
      </w:r>
      <w:r w:rsidRPr="00394AE5">
        <w:rPr>
          <w:rFonts w:asciiTheme="majorHAnsi" w:hAnsiTheme="majorHAnsi" w:cs="AdvPTimes"/>
          <w:sz w:val="24"/>
          <w:szCs w:val="24"/>
        </w:rPr>
        <w:t xml:space="preserve">(i.e., human, economic, physical, temporal resources), and </w:t>
      </w:r>
      <w:r w:rsidRPr="00394AE5">
        <w:rPr>
          <w:rFonts w:asciiTheme="majorHAnsi" w:hAnsiTheme="majorHAnsi" w:cs="AdvPTimesI"/>
          <w:sz w:val="24"/>
          <w:szCs w:val="24"/>
        </w:rPr>
        <w:t xml:space="preserve">organization of resources </w:t>
      </w:r>
      <w:r w:rsidRPr="00394AE5">
        <w:rPr>
          <w:rFonts w:asciiTheme="majorHAnsi" w:hAnsiTheme="majorHAnsi" w:cs="AdvPTimes"/>
          <w:sz w:val="24"/>
          <w:szCs w:val="24"/>
        </w:rPr>
        <w:t xml:space="preserve">(i.e., how resources are arranged and allocated). We postulate that these setting aspects are in dynamic transaction with each other, resulting in </w:t>
      </w:r>
      <w:r w:rsidRPr="00394AE5">
        <w:rPr>
          <w:rFonts w:asciiTheme="majorHAnsi" w:hAnsiTheme="majorHAnsi" w:cs="AdvPTimesI"/>
          <w:sz w:val="24"/>
          <w:szCs w:val="24"/>
        </w:rPr>
        <w:t>setting outcomes</w:t>
      </w:r>
      <w:r w:rsidRPr="00394AE5">
        <w:rPr>
          <w:rFonts w:asciiTheme="majorHAnsi" w:hAnsiTheme="majorHAnsi" w:cs="AdvPTimes"/>
          <w:sz w:val="24"/>
          <w:szCs w:val="24"/>
        </w:rPr>
        <w:t>. Discussion focuses on the implications of our theoretical framework for setting intervention." –p. 217</w:t>
      </w:r>
    </w:p>
    <w:p w:rsidR="00045423" w:rsidRPr="00394AE5" w:rsidRDefault="00045423" w:rsidP="00394AE5">
      <w:pPr>
        <w:contextualSpacing/>
        <w:rPr>
          <w:rFonts w:asciiTheme="majorHAnsi" w:hAnsiTheme="majorHAnsi" w:cs="Times New Roman"/>
          <w:sz w:val="24"/>
          <w:szCs w:val="24"/>
        </w:rPr>
      </w:pPr>
      <w:r w:rsidRPr="00394AE5">
        <w:rPr>
          <w:rFonts w:asciiTheme="majorHAnsi" w:hAnsiTheme="majorHAnsi" w:cs="Times New Roman"/>
          <w:noProof/>
          <w:sz w:val="24"/>
          <w:szCs w:val="24"/>
        </w:rPr>
        <w:drawing>
          <wp:inline distT="0" distB="0" distL="0" distR="0">
            <wp:extent cx="3763645" cy="3179445"/>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763645" cy="3179445"/>
                    </a:xfrm>
                    <a:prstGeom prst="rect">
                      <a:avLst/>
                    </a:prstGeom>
                    <a:noFill/>
                    <a:ln w="9525">
                      <a:noFill/>
                      <a:miter lim="800000"/>
                      <a:headEnd/>
                      <a:tailEnd/>
                    </a:ln>
                  </pic:spPr>
                </pic:pic>
              </a:graphicData>
            </a:graphic>
          </wp:inline>
        </w:drawing>
      </w:r>
    </w:p>
    <w:p w:rsidR="00045423" w:rsidRPr="00394AE5" w:rsidRDefault="00045423" w:rsidP="00394AE5">
      <w:pPr>
        <w:contextualSpacing/>
        <w:rPr>
          <w:rFonts w:asciiTheme="majorHAnsi" w:hAnsiTheme="majorHAnsi" w:cs="Times New Roman"/>
          <w:sz w:val="24"/>
          <w:szCs w:val="24"/>
        </w:rPr>
      </w:pPr>
      <w:r w:rsidRPr="00394AE5">
        <w:rPr>
          <w:rFonts w:asciiTheme="majorHAnsi" w:hAnsiTheme="majorHAnsi" w:cs="Times New Roman"/>
          <w:sz w:val="24"/>
          <w:szCs w:val="24"/>
        </w:rPr>
        <w:t>-p. 218</w:t>
      </w:r>
    </w:p>
    <w:p w:rsidR="00045423" w:rsidRPr="00394AE5" w:rsidRDefault="00045423" w:rsidP="00394AE5">
      <w:pPr>
        <w:contextualSpacing/>
        <w:rPr>
          <w:rFonts w:asciiTheme="majorHAnsi" w:hAnsiTheme="majorHAnsi" w:cs="Times New Roman"/>
          <w:sz w:val="24"/>
          <w:szCs w:val="24"/>
        </w:rPr>
      </w:pPr>
    </w:p>
    <w:p w:rsidR="00045423" w:rsidRPr="00394AE5" w:rsidRDefault="00045423" w:rsidP="00394AE5">
      <w:pPr>
        <w:contextualSpacing/>
        <w:rPr>
          <w:rFonts w:asciiTheme="majorHAnsi" w:hAnsiTheme="majorHAnsi"/>
          <w:sz w:val="24"/>
          <w:szCs w:val="24"/>
        </w:rPr>
      </w:pPr>
      <w:r w:rsidRPr="00394AE5">
        <w:rPr>
          <w:rFonts w:asciiTheme="majorHAnsi" w:hAnsiTheme="majorHAnsi"/>
          <w:sz w:val="24"/>
          <w:szCs w:val="24"/>
        </w:rPr>
        <w:br w:type="page"/>
      </w:r>
    </w:p>
    <w:p w:rsidR="00BD30F0" w:rsidRPr="00394AE5" w:rsidRDefault="00BD30F0" w:rsidP="00394AE5">
      <w:pPr>
        <w:contextualSpacing/>
        <w:rPr>
          <w:rFonts w:asciiTheme="majorHAnsi" w:hAnsiTheme="majorHAnsi"/>
          <w:sz w:val="24"/>
          <w:szCs w:val="24"/>
        </w:rPr>
      </w:pPr>
    </w:p>
    <w:p w:rsidR="00045423" w:rsidRPr="00394AE5" w:rsidRDefault="00394AE5" w:rsidP="00394AE5">
      <w:pPr>
        <w:autoSpaceDE w:val="0"/>
        <w:autoSpaceDN w:val="0"/>
        <w:adjustRightInd w:val="0"/>
        <w:spacing w:after="0" w:line="240" w:lineRule="auto"/>
        <w:ind w:left="720" w:hanging="720"/>
        <w:contextualSpacing/>
        <w:rPr>
          <w:rFonts w:asciiTheme="majorHAnsi" w:hAnsiTheme="majorHAnsi" w:cs="Cambria"/>
          <w:sz w:val="24"/>
          <w:szCs w:val="24"/>
        </w:rPr>
      </w:pPr>
      <w:r w:rsidRPr="00394AE5">
        <w:rPr>
          <w:rFonts w:asciiTheme="majorHAnsi" w:hAnsiTheme="majorHAnsi" w:cs="Cambria"/>
          <w:sz w:val="24"/>
          <w:szCs w:val="24"/>
        </w:rPr>
        <w:t xml:space="preserve">West, R. E. (2008). What is shared? A framework for understanding shared innovation within communities. </w:t>
      </w:r>
      <w:r w:rsidRPr="00394AE5">
        <w:rPr>
          <w:rFonts w:asciiTheme="majorHAnsi" w:hAnsiTheme="majorHAnsi" w:cs="Cambria"/>
          <w:i/>
          <w:iCs/>
          <w:sz w:val="24"/>
          <w:szCs w:val="24"/>
        </w:rPr>
        <w:t>Educational Technology, Research and Development</w:t>
      </w:r>
      <w:r w:rsidRPr="00394AE5">
        <w:rPr>
          <w:rFonts w:asciiTheme="majorHAnsi" w:hAnsiTheme="majorHAnsi" w:cs="Cambria"/>
          <w:sz w:val="24"/>
          <w:szCs w:val="24"/>
        </w:rPr>
        <w:t xml:space="preserve">. </w:t>
      </w:r>
    </w:p>
    <w:p w:rsidR="00394AE5" w:rsidRPr="00394AE5" w:rsidRDefault="00394AE5" w:rsidP="00394AE5">
      <w:pPr>
        <w:autoSpaceDE w:val="0"/>
        <w:autoSpaceDN w:val="0"/>
        <w:adjustRightInd w:val="0"/>
        <w:spacing w:after="0" w:line="240" w:lineRule="auto"/>
        <w:ind w:left="720" w:hanging="720"/>
        <w:contextualSpacing/>
        <w:rPr>
          <w:rFonts w:asciiTheme="majorHAnsi" w:hAnsiTheme="majorHAnsi"/>
          <w:sz w:val="24"/>
          <w:szCs w:val="24"/>
        </w:rPr>
      </w:pPr>
    </w:p>
    <w:p w:rsidR="00394AE5" w:rsidRPr="00394AE5" w:rsidRDefault="00045423" w:rsidP="00394AE5">
      <w:pPr>
        <w:autoSpaceDE w:val="0"/>
        <w:autoSpaceDN w:val="0"/>
        <w:adjustRightInd w:val="0"/>
        <w:spacing w:after="0" w:line="240" w:lineRule="auto"/>
        <w:contextualSpacing/>
        <w:rPr>
          <w:rFonts w:asciiTheme="majorHAnsi" w:hAnsiTheme="majorHAnsi" w:cs="AdvPTimes"/>
          <w:sz w:val="24"/>
          <w:szCs w:val="24"/>
        </w:rPr>
      </w:pPr>
      <w:r w:rsidRPr="00394AE5">
        <w:rPr>
          <w:rFonts w:asciiTheme="majorHAnsi" w:hAnsiTheme="majorHAnsi"/>
          <w:sz w:val="24"/>
          <w:szCs w:val="24"/>
        </w:rPr>
        <w:t>"</w:t>
      </w:r>
      <w:r w:rsidRPr="00394AE5">
        <w:rPr>
          <w:rFonts w:asciiTheme="majorHAnsi" w:hAnsiTheme="majorHAnsi" w:cs="AdvPTimes"/>
          <w:sz w:val="24"/>
          <w:szCs w:val="24"/>
        </w:rPr>
        <w:t>Not all professions consist of COIs, but many do, and yet we still lack the theoretical</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frameworks to understand these COIs. Perhaps because the construct has not been thoroughly</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researched, understanding the principles of what enables or fosters a COI requires</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synthesizing many disparate bodies of research, as I have done in this paper. From the</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social learning movement, we learn how knowledge is negotiated externally to an individual</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through interactions with an environment and other persons. We also learn that</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many kinds of knowledge are situated in particular contexts or held within the shared</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practices of a community. My assertion in this paper is that other kinds of learning and</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expertise are gained through shared innovation within communities. Also, technological</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affordances of the Information Age (ubiquitous access to information and communication)</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require us to reconsider our models of social learning and working. Accordingly, because</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of these technologies, modern COIs can be expected to exist in virtual or at least blended</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(online/offline) settings, and ‘‘presence’’ will be measured more psychologically than</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 xml:space="preserve">physically. </w:t>
      </w:r>
    </w:p>
    <w:p w:rsidR="00394AE5" w:rsidRPr="00394AE5" w:rsidRDefault="00045423" w:rsidP="00394AE5">
      <w:pPr>
        <w:contextualSpacing/>
        <w:rPr>
          <w:rFonts w:asciiTheme="majorHAnsi" w:hAnsiTheme="majorHAnsi" w:cs="AdvPTimes"/>
          <w:sz w:val="24"/>
          <w:szCs w:val="24"/>
        </w:rPr>
      </w:pPr>
      <w:r w:rsidRPr="00394AE5">
        <w:rPr>
          <w:rFonts w:asciiTheme="majorHAnsi" w:hAnsiTheme="majorHAnsi" w:cs="AdvPTimes"/>
          <w:sz w:val="24"/>
          <w:szCs w:val="24"/>
        </w:rPr>
        <w:t>From creativity research, we have learned that innovation can be developed within</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individuals and groups. Innovation can be partially understood as a function of cognitive</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processes, although harnessing these processes is terribly complex. Finally, we have</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learned that innovation has a powerful social component, and that there are discernible</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processes to group innovation. An innovative group engages in divergent thinking (idea</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generation), convergent thinking (idea selection), and idea or artifact development and</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implementation. During each of these processes, the group climate must encourage</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entrepreneurship and yet interdependence, group reflection, dynamic (progressive)</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expertise, and intrinsic motivation. In addition, there must be enough trust and psychological</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closeness among the community members to be able to share new ideas freely, and</w:t>
      </w:r>
      <w:r w:rsidR="00394AE5" w:rsidRPr="00394AE5">
        <w:rPr>
          <w:rFonts w:asciiTheme="majorHAnsi" w:hAnsiTheme="majorHAnsi" w:cs="AdvPTimes"/>
          <w:sz w:val="24"/>
          <w:szCs w:val="24"/>
        </w:rPr>
        <w:t xml:space="preserve"> </w:t>
      </w:r>
      <w:r w:rsidRPr="00394AE5">
        <w:rPr>
          <w:rFonts w:asciiTheme="majorHAnsi" w:hAnsiTheme="majorHAnsi" w:cs="AdvPTimes"/>
          <w:sz w:val="24"/>
          <w:szCs w:val="24"/>
        </w:rPr>
        <w:t>yet enough diversity to force consideration of alternatives." –p. 13</w:t>
      </w:r>
    </w:p>
    <w:p w:rsidR="00394AE5" w:rsidRDefault="00394AE5" w:rsidP="00394AE5">
      <w:pPr>
        <w:contextualSpacing/>
        <w:rPr>
          <w:rFonts w:asciiTheme="majorHAnsi" w:hAnsiTheme="majorHAnsi" w:cs="AdvPTimes"/>
          <w:sz w:val="24"/>
          <w:szCs w:val="24"/>
        </w:rPr>
      </w:pPr>
      <w:r w:rsidRPr="00394AE5">
        <w:rPr>
          <w:rFonts w:asciiTheme="majorHAnsi" w:hAnsiTheme="majorHAnsi" w:cs="AdvPTimes"/>
          <w:sz w:val="24"/>
          <w:szCs w:val="24"/>
        </w:rPr>
        <w:t>(COIs are communities of innovation)</w:t>
      </w:r>
    </w:p>
    <w:p w:rsidR="00FF1698" w:rsidRPr="00FF1698" w:rsidRDefault="00394AE5" w:rsidP="00FF1698">
      <w:pPr>
        <w:spacing w:after="0" w:line="240" w:lineRule="auto"/>
        <w:ind w:firstLine="720"/>
        <w:rPr>
          <w:rFonts w:asciiTheme="majorHAnsi" w:hAnsiTheme="majorHAnsi"/>
        </w:rPr>
      </w:pPr>
      <w:r>
        <w:rPr>
          <w:rFonts w:asciiTheme="majorHAnsi" w:hAnsiTheme="majorHAnsi" w:cs="AdvPTimes"/>
          <w:sz w:val="24"/>
          <w:szCs w:val="24"/>
        </w:rPr>
        <w:br w:type="page"/>
      </w:r>
      <w:r w:rsidR="00FF1698" w:rsidRPr="00FF1698">
        <w:rPr>
          <w:rFonts w:asciiTheme="majorHAnsi" w:hAnsiTheme="majorHAnsi" w:cs="AdvPTimes"/>
        </w:rPr>
        <w:lastRenderedPageBreak/>
        <w:t>"</w:t>
      </w:r>
      <w:r w:rsidR="00FF1698" w:rsidRPr="00FF1698">
        <w:rPr>
          <w:rFonts w:asciiTheme="majorHAnsi" w:hAnsiTheme="majorHAnsi"/>
        </w:rPr>
        <w:t xml:space="preserve"> The special case of communities of practice presents its own unique issues.  First, there is the problem of the definition of a community of practice</w:t>
      </w:r>
      <w:r w:rsidR="00FF1698">
        <w:rPr>
          <w:rFonts w:asciiTheme="majorHAnsi" w:hAnsiTheme="majorHAnsi"/>
        </w:rPr>
        <w:t>…</w:t>
      </w:r>
      <w:r w:rsidR="00FF1698" w:rsidRPr="00FF1698">
        <w:rPr>
          <w:rFonts w:asciiTheme="majorHAnsi" w:hAnsiTheme="majorHAnsi"/>
        </w:rPr>
        <w:t xml:space="preserve">  Interdependence is a key here as it separates cooperative groups and communities of learners from groups where individuality and competition are the norm.  The two aspects that make communities of practice special are that they are communities and their focus is on practice.  Professional development methods that utilize group learning like communities of practice are based on interdependence so there are many components needed like motivation, trust, institutional support, and supportive school culture for them to function well.  </w:t>
      </w:r>
      <w:r w:rsidR="00FF1698">
        <w:rPr>
          <w:rFonts w:asciiTheme="majorHAnsi" w:hAnsiTheme="majorHAnsi"/>
        </w:rPr>
        <w:t>…</w:t>
      </w:r>
      <w:r w:rsidR="00FF1698" w:rsidRPr="00FF1698">
        <w:rPr>
          <w:rFonts w:asciiTheme="majorHAnsi" w:hAnsiTheme="majorHAnsi"/>
        </w:rPr>
        <w:t xml:space="preserve">.  Forming a productive learning community of any kind can present challenges.  </w:t>
      </w:r>
      <w:r w:rsidR="00FF1698">
        <w:rPr>
          <w:rFonts w:asciiTheme="majorHAnsi" w:hAnsiTheme="majorHAnsi"/>
        </w:rPr>
        <w:t>…</w:t>
      </w:r>
      <w:r w:rsidR="00FF1698" w:rsidRPr="00FF1698">
        <w:rPr>
          <w:rFonts w:asciiTheme="majorHAnsi" w:hAnsiTheme="majorHAnsi"/>
        </w:rPr>
        <w:t xml:space="preserve">  However, the end of the day we really do not know exactly what the requirements are for community formation or exactly holds them together.  </w:t>
      </w:r>
    </w:p>
    <w:p w:rsidR="00FF1698" w:rsidRPr="00FF1698" w:rsidRDefault="00FF1698" w:rsidP="00FF1698">
      <w:pPr>
        <w:spacing w:after="0" w:line="240" w:lineRule="auto"/>
        <w:ind w:firstLine="720"/>
        <w:rPr>
          <w:rFonts w:asciiTheme="majorHAnsi" w:hAnsiTheme="majorHAnsi"/>
        </w:rPr>
      </w:pPr>
      <w:r w:rsidRPr="00FF1698">
        <w:rPr>
          <w:rFonts w:asciiTheme="majorHAnsi" w:hAnsiTheme="majorHAnsi"/>
        </w:rPr>
        <w:t xml:space="preserve">This paper puts forth the model that trust, motivation, and a supportive organization are all needed (at least to some degree) for a coherent, productive, and successful community of practice to form and thrive.  In addition, a successful community of practice may positively influence teacher trust, motivation and the organization that houses them and trust, motivation, and the organization may influence each other, though to different degrees (see figure 1. for a visual representation).  For example, the organizational supports might </w:t>
      </w:r>
      <w:proofErr w:type="spellStart"/>
      <w:r w:rsidRPr="00FF1698">
        <w:rPr>
          <w:rFonts w:asciiTheme="majorHAnsi" w:hAnsiTheme="majorHAnsi"/>
        </w:rPr>
        <w:t>effect</w:t>
      </w:r>
      <w:proofErr w:type="spellEnd"/>
      <w:r w:rsidRPr="00FF1698">
        <w:rPr>
          <w:rFonts w:asciiTheme="majorHAnsi" w:hAnsiTheme="majorHAnsi"/>
        </w:rPr>
        <w:t xml:space="preserve"> motivation and trust more than it is affected by either of these two components whereas trust and motivation likely have a more reciprocal relationship.</w:t>
      </w:r>
    </w:p>
    <w:p w:rsidR="00FF1698" w:rsidRPr="00FF1698" w:rsidRDefault="00FF1698" w:rsidP="00FF1698">
      <w:pPr>
        <w:spacing w:after="0" w:line="240" w:lineRule="auto"/>
        <w:ind w:firstLine="720"/>
        <w:rPr>
          <w:rFonts w:asciiTheme="majorHAnsi" w:hAnsiTheme="majorHAnsi"/>
        </w:rPr>
      </w:pPr>
      <w:r w:rsidRPr="00FF1698">
        <w:rPr>
          <w:rFonts w:asciiTheme="majorHAnsi" w:hAnsiTheme="majorHAnsi"/>
        </w:rPr>
        <w:t xml:space="preserve">For one person to learn from another in a group or otherwise, trust is essential.  We have to trust that the person we’re learning from is competent, reliable, and has benevolent motives </w:t>
      </w:r>
      <w:r w:rsidRPr="00FF1698">
        <w:rPr>
          <w:rFonts w:asciiTheme="majorHAnsi" w:hAnsiTheme="majorHAnsi"/>
        </w:rPr>
        <w:fldChar w:fldCharType="begin"/>
      </w:r>
      <w:r w:rsidRPr="00FF1698">
        <w:rPr>
          <w:rFonts w:asciiTheme="majorHAnsi" w:hAnsiTheme="majorHAnsi"/>
        </w:rPr>
        <w:instrText xml:space="preserve"> ADDIN EN.CITE &lt;EndNote&gt;&lt;Cite&gt;&lt;Author&gt;Tschannen-Moran&lt;/Author&gt;&lt;Year&gt;2000&lt;/Year&gt;&lt;RecNum&gt;538&lt;/RecNum&gt;&lt;record&gt;&lt;rec-number&gt;538&lt;/rec-number&gt;&lt;foreign-keys&gt;&lt;key app="EN" db-id="95992axasra09se9ptaprvvkpr55ddweprtd"&gt;538&lt;/key&gt;&lt;/foreign-keys&gt;&lt;ref-type name="Journal Article"&gt;17&lt;/ref-type&gt;&lt;contributors&gt;&lt;authors&gt;&lt;author&gt;Tschannen-Moran, M.&lt;/author&gt;&lt;author&gt;Hoy, W.K.&lt;/author&gt;&lt;/authors&gt;&lt;/contributors&gt;&lt;titles&gt;&lt;title&gt;A multidisciplinary analysis of the nature, meaning, and measurement of trust.&lt;/title&gt;&lt;secondary-title&gt;Review of Educational Research&lt;/secondary-title&gt;&lt;/titles&gt;&lt;periodical&gt;&lt;full-title&gt;Review of Educational Research&lt;/full-title&gt;&lt;/periodical&gt;&lt;pages&gt;547-593&lt;/pages&gt;&lt;volume&gt;70&lt;/volume&gt;&lt;number&gt;4&lt;/number&gt;&lt;keywords&gt;&lt;keyword&gt;trust&lt;/keyword&gt;&lt;keyword&gt;overview&lt;/keyword&gt;&lt;keyword&gt;schools&lt;/keyword&gt;&lt;keyword&gt;review&lt;/keyword&gt;&lt;keyword&gt;trust in schools&lt;/keyword&gt;&lt;keyword&gt;trust in organizational settings&lt;/keyword&gt;&lt;keyword&gt;dynamics of trust&lt;/keyword&gt;&lt;keyword&gt;initiating trust&lt;/keyword&gt;&lt;keyword&gt;sustaining trust&lt;/keyword&gt;&lt;keyword&gt;breaking trust&lt;/keyword&gt;&lt;keyword&gt;repairing trust&lt;/keyword&gt;&lt;keyword&gt;communication&lt;/keyword&gt;&lt;keyword&gt;collaboration&lt;/keyword&gt;&lt;keyword&gt;climate&lt;/keyword&gt;&lt;keyword&gt;organizational citizenship&lt;/keyword&gt;&lt;keyword&gt;collective efficacy&lt;/keyword&gt;&lt;keyword&gt;Achievement&lt;/keyword&gt;&lt;keyword&gt;effectiveness&lt;/keyword&gt;&lt;keyword&gt;beliefs&lt;/keyword&gt;&lt;keyword&gt;teacher beliefs&lt;/keyword&gt;&lt;keyword&gt;management practices&lt;/keyword&gt;&lt;keyword&gt;social distance&lt;/keyword&gt;&lt;keyword&gt;interests&lt;/keyword&gt;&lt;keyword&gt;distrust&lt;/keyword&gt;&lt;keyword&gt;goals&lt;/keyword&gt;&lt;keyword&gt;willing vulnerability&lt;/keyword&gt;&lt;keyword&gt;benevolence&lt;/keyword&gt;&lt;keyword&gt;reliability&lt;/keyword&gt;&lt;keyword&gt;competence&lt;/keyword&gt;&lt;keyword&gt;honesty&lt;/keyword&gt;&lt;keyword&gt;openness&lt;/keyword&gt;&lt;keyword&gt;organizational trust&lt;/keyword&gt;&lt;keyword&gt;disposition to trust&lt;/keyword&gt;&lt;keyword&gt;affect&lt;/keyword&gt;&lt;keyword&gt;emotion&lt;/keyword&gt;&lt;keyword&gt;affection&lt;/keyword&gt;&lt;keyword&gt;values&lt;/keyword&gt;&lt;keyword&gt;attitudes&lt;/keyword&gt;&lt;keyword&gt;outsider&lt;/keyword&gt;&lt;keyword&gt;Norms&lt;/keyword&gt;&lt;keyword&gt;diversity (Faculty)&lt;/keyword&gt;&lt;keyword&gt;in-group&lt;/keyword&gt;&lt;keyword&gt;out-group&lt;/keyword&gt;&lt;keyword&gt;characteristic trust&lt;/keyword&gt;&lt;keyword&gt;calculative trust&lt;/keyword&gt;&lt;keyword&gt;institution-based trust&lt;/keyword&gt;&lt;keyword&gt;knowledge-based trust&lt;/keyword&gt;&lt;keyword&gt;uneven trust&lt;/keyword&gt;&lt;keyword&gt;statistical learning&lt;/keyword&gt;&lt;keyword&gt;unconditional trust&lt;/keyword&gt;&lt;keyword&gt;self-fulfilling prophecy&lt;/keyword&gt;&lt;keyword&gt;mixed-motive game&lt;/keyword&gt;&lt;keyword&gt;game theory&lt;/keyword&gt;&lt;keyword&gt;prisoner&amp;apos;s dillema&lt;/keyword&gt;&lt;keyword&gt;generalized trust&lt;/keyword&gt;&lt;keyword&gt;trust in intimate relationships&lt;/keyword&gt;&lt;keyword&gt;Interpersonal Trust Scale&lt;/keyword&gt;&lt;keyword&gt;Trust-Suspicion Scale&lt;/keyword&gt;&lt;keyword&gt;Dyadic Trust Scale&lt;/keyword&gt;&lt;keyword&gt;Specific Interpersonal Trust Scale&lt;/keyword&gt;&lt;keyword&gt;Trust in close relationships&lt;/keyword&gt;&lt;keyword&gt;Trust in Employer&lt;/keyword&gt;&lt;keyword&gt;Interpersonal Trust at Work&lt;/keyword&gt;&lt;keyword&gt;Trust Measures&lt;/keyword&gt;&lt;keyword&gt;Conditions of Trust Inventory&lt;/keyword&gt;&lt;keyword&gt;Organizational Trust Inventory&lt;/keyword&gt;&lt;keyword&gt;Trust Survey&lt;/keyword&gt;&lt;keyword&gt;Trust in Schools&lt;/keyword&gt;&lt;keyword&gt;dynamics of trust&lt;/keyword&gt;&lt;keyword&gt;reputation&lt;/keyword&gt;&lt;keyword&gt;reciprocity&lt;/keyword&gt;&lt;keyword&gt;trust in hierarchical relationships&lt;/keyword&gt;&lt;keyword&gt;organizational attributes&lt;/keyword&gt;&lt;keyword&gt;culture of cooperation&lt;/keyword&gt;&lt;keyword&gt;cooperative orientation&lt;/keyword&gt;&lt;keyword&gt;group membership&lt;/keyword&gt;&lt;keyword&gt;betrayal&lt;/keyword&gt;&lt;keyword&gt;organizational culture&lt;/keyword&gt;&lt;keyword&gt;revenge&lt;/keyword&gt;&lt;keyword&gt;repairing trust&lt;/keyword&gt;&lt;keyword&gt;Osgood proposal&lt;/keyword&gt;&lt;keyword&gt;reparation&lt;/keyword&gt;&lt;keyword&gt;communication&lt;/keyword&gt;&lt;keyword&gt;school cultural&lt;/keyword&gt;&lt;keyword&gt;organizational citizenship&lt;/keyword&gt;&lt;/keywords&gt;&lt;dates&gt;&lt;year&gt;2000&lt;/year&gt;&lt;/dates&gt;&lt;work-type&gt;Journal&lt;/work-type&gt;&lt;urls&gt;&lt;pdf-urls&gt;&lt;url&gt;file://C:\Documents and Settings\Sarah\My Documents\Articles and References\Tschannen-MoranHoy AMultidisciplinary.pdf&lt;/url&gt;&lt;/pdf-urls&gt;&lt;/urls&gt;&lt;research-notes&gt;TE 943 project&amp;#xD;CEP 910 project&lt;/research-notes&gt;&lt;/record&gt;&lt;/Cite&gt;&lt;/EndNote&gt;</w:instrText>
      </w:r>
      <w:r w:rsidRPr="00FF1698">
        <w:rPr>
          <w:rFonts w:asciiTheme="majorHAnsi" w:hAnsiTheme="majorHAnsi"/>
        </w:rPr>
        <w:fldChar w:fldCharType="separate"/>
      </w:r>
      <w:r w:rsidRPr="00FF1698">
        <w:rPr>
          <w:rFonts w:asciiTheme="majorHAnsi" w:hAnsiTheme="majorHAnsi"/>
        </w:rPr>
        <w:t>(M. Tschannen-Moran &amp; Hoy, 2000)</w:t>
      </w:r>
      <w:r w:rsidRPr="00FF1698">
        <w:rPr>
          <w:rFonts w:asciiTheme="majorHAnsi" w:hAnsiTheme="majorHAnsi"/>
        </w:rPr>
        <w:fldChar w:fldCharType="end"/>
      </w:r>
      <w:r w:rsidRPr="00FF1698">
        <w:rPr>
          <w:rFonts w:asciiTheme="majorHAnsi" w:hAnsiTheme="majorHAnsi"/>
        </w:rPr>
        <w:t xml:space="preserve">.  Teachers need to trust both other teachers in the community and other people in the hierarchy of their school, such as principals for communities of practice to survive.  They need to trust that they can be vulnerable in the community and the community will support rather than take advantage of them.  They need to trust that they all have the same goals and that they will cooperatively work towards those goals.  Trust in groups can be a virtuous circle, in which trust augments cooperation, which in turn may increase trust </w:t>
      </w:r>
      <w:r w:rsidRPr="00FF1698">
        <w:rPr>
          <w:rFonts w:asciiTheme="majorHAnsi" w:hAnsiTheme="majorHAnsi"/>
        </w:rPr>
        <w:fldChar w:fldCharType="begin"/>
      </w:r>
      <w:r w:rsidRPr="00FF1698">
        <w:rPr>
          <w:rFonts w:asciiTheme="majorHAnsi" w:hAnsiTheme="majorHAnsi"/>
        </w:rPr>
        <w:instrText xml:space="preserve"> ADDIN EN.CITE &lt;EndNote&gt;&lt;Cite&gt;&lt;Author&gt;Grossman&lt;/Author&gt;&lt;Year&gt;2001&lt;/Year&gt;&lt;RecNum&gt;462&lt;/RecNum&gt;&lt;record&gt;&lt;rec-number&gt;462&lt;/rec-number&gt;&lt;foreign-keys&gt;&lt;key app="EN" db-id="95992axasra09se9ptaprvvkpr55ddweprtd"&gt;462&lt;/key&gt;&lt;/foreign-keys&gt;&lt;ref-type name="Journal Article"&gt;17&lt;/ref-type&gt;&lt;contributors&gt;&lt;authors&gt;&lt;author&gt;Grossman, P.&lt;/author&gt;&lt;author&gt;Wineburg, S.&lt;/author&gt;&lt;author&gt;Woolworth, S.&lt;/author&gt;&lt;/authors&gt;&lt;/contributors&gt;&lt;titles&gt;&lt;title&gt;Toward a theory of teacher community&lt;/title&gt;&lt;secondary-title&gt;Teachers College Record&lt;/secondary-title&gt;&lt;/titles&gt;&lt;periodical&gt;&lt;full-title&gt;Teachers College Record&lt;/full-title&gt;&lt;/periodical&gt;&lt;pages&gt;942-1012&lt;/pages&gt;&lt;volume&gt;103&lt;/volume&gt;&lt;number&gt;6&lt;/number&gt;&lt;keywords&gt;&lt;keyword&gt;Collegiality&lt;/keyword&gt;&lt;keyword&gt;Democracy&lt;/keyword&gt;&lt;keyword&gt;Diversity (Faculty)&lt;/keyword&gt;&lt;keyword&gt;Elementary Secondary Education&lt;/keyword&gt;&lt;keyword&gt;Faculty Development&lt;/keyword&gt;&lt;keyword&gt;Leadership&lt;/keyword&gt;&lt;keyword&gt;Teacher Collaboration&lt;/keyword&gt;&lt;keyword&gt;Teacher Improvement&lt;/keyword&gt;&lt;keyword&gt;Learning Communities&lt;/keyword&gt;&lt;keyword&gt;Teacher Knowledge&lt;/keyword&gt;&lt;keyword&gt;Tension&lt;/keyword&gt;&lt;keyword&gt;Professional Development&lt;/keyword&gt;&lt;keyword&gt;teacher&lt;/keyword&gt;&lt;keyword&gt;interdiscipinary&lt;/keyword&gt;&lt;keyword&gt;Curriculum&lt;/keyword&gt;&lt;keyword&gt;Professional communities&lt;/keyword&gt;&lt;keyword&gt;Pedagogical strategies&lt;/keyword&gt;&lt;keyword&gt;pedagogical practices&lt;/keyword&gt;&lt;keyword&gt;diversity&lt;/keyword&gt;&lt;keyword&gt;Perspectives&lt;/keyword&gt;&lt;keyword&gt;community of learners&lt;/keyword&gt;&lt;keyword&gt;community&lt;/keyword&gt;&lt;keyword&gt;member&lt;/keyword&gt;&lt;keyword&gt;departmental organization&lt;/keyword&gt;&lt;keyword&gt;cooperative learning&lt;/keyword&gt;&lt;keyword&gt;Pedagogical content knowledge&lt;/keyword&gt;&lt;keyword&gt;pedagogy&lt;/keyword&gt;&lt;keyword&gt;Environmental Influences&lt;/keyword&gt;&lt;keyword&gt;context&lt;/keyword&gt;&lt;keyword&gt;History&lt;/keyword&gt;&lt;keyword&gt;English&lt;/keyword&gt;&lt;keyword&gt;teacher community&lt;/keyword&gt;&lt;keyword&gt;theory&lt;/keyword&gt;&lt;keyword&gt;developmental trajectory of intellectual community among teachers&lt;/keyword&gt;&lt;keyword&gt;dialog&lt;/keyword&gt;&lt;keyword&gt;culture&lt;/keyword&gt;&lt;keyword&gt;individualism&lt;/keyword&gt;&lt;keyword&gt;social interaction&lt;/keyword&gt;&lt;keyword&gt;civic membership&lt;/keyword&gt;&lt;keyword&gt;social identity&lt;/keyword&gt;&lt;keyword&gt;personal identity&lt;/keyword&gt;&lt;keyword&gt;American society&lt;/keyword&gt;&lt;keyword&gt;social capital&lt;/keyword&gt;&lt;keyword&gt;social networks&lt;/keyword&gt;&lt;keyword&gt;norms&lt;/keyword&gt;&lt;keyword&gt;trust&lt;/keyword&gt;&lt;keyword&gt;cooperation&lt;/keyword&gt;&lt;keyword&gt;interdependence&lt;/keyword&gt;&lt;keyword&gt;identity&lt;/keyword&gt;&lt;keyword&gt;common values&lt;/keyword&gt;&lt;keyword&gt;Common discourse&lt;/keyword&gt;&lt;keyword&gt;socialization&lt;/keyword&gt;&lt;keyword&gt;building community&lt;/keyword&gt;&lt;keyword&gt;teacher learning&lt;/keyword&gt;&lt;keyword&gt;self selection bias&lt;/keyword&gt;&lt;keyword&gt;situated interaction&lt;/keyword&gt;&lt;keyword&gt;critical reading&lt;/keyword&gt;&lt;keyword&gt;pseudocommunity&lt;/keyword&gt;&lt;keyword&gt;illusion of consensus&lt;/keyword&gt;&lt;keyword&gt;facilitator&lt;/keyword&gt;&lt;keyword&gt;group Dynamics&lt;/keyword&gt;&lt;keyword&gt;Content knowledge&lt;/keyword&gt;&lt;keyword&gt;subject matter knowledge&lt;/keyword&gt;&lt;keyword&gt;secondary teachers&lt;/keyword&gt;&lt;keyword&gt;elemenary teachers&lt;/keyword&gt;&lt;keyword&gt;distributed cognition&lt;/keyword&gt;&lt;keyword&gt;Jigsaw&lt;/keyword&gt;&lt;keyword&gt;distributed epistemologies&lt;/keyword&gt;&lt;keyword&gt;ways of knowing&lt;/keyword&gt;&lt;keyword&gt;transcript&lt;/keyword&gt;&lt;keyword&gt;social participation&lt;/keyword&gt;&lt;keyword&gt;Negotiation&lt;/keyword&gt;&lt;keyword&gt;Opportunity to learn&lt;/keyword&gt;&lt;keyword&gt;purpose of education&lt;/keyword&gt;&lt;/keywords&gt;&lt;dates&gt;&lt;year&gt;2001&lt;/year&gt;&lt;pub-dates&gt;&lt;date&gt;Dec&lt;/date&gt;&lt;/pub-dates&gt;&lt;/dates&gt;&lt;isbn&gt;0161-4681&lt;/isbn&gt;&lt;urls&gt;&lt;pdf-urls&gt;&lt;url&gt;internal-pdf://GrossmanWineburg TowardATheory-0867752706/GrossmanWineburg TowardATheory.pdf&lt;/url&gt;&lt;url&gt;internal-pdf://criticalsummary.GrossmanWineburg-0210955280/criticalsummary.GrossmanWineburg.doc&lt;/url&gt;&lt;/pdf-urls&gt;&lt;/urls&gt;&lt;research-notes&gt;&lt;style face="normal" font="default" size="100%"&gt;TE 943&amp;#xD;&amp;quot;In his review, Westheimer (1998) pointed to five common themes in theories of community (interdependence, interaction/participation, shared interests, concern for individual and minority views, and meaningful relationships), ...&amp;quot;&amp;#xD;&amp;quot;We have little sense of how teachers forge the bonds of community, struggle to maintain them, work through the inevitable conflicts of social relationships, and form the structures needed to sustain relationships over time.  Without understanding such processes, we have little to guide us as we try to create community (&lt;/style&gt;&lt;style face="italic" font="default" size="100%"&gt;whatever&lt;/style&gt;&lt;style face="normal" font="default" size="100%"&gt; it may mean) in settings where it doesn&amp;apos;t exist already.&amp;quot;&amp;#xD;Talks about loss of community through history - cites Putnam&amp;apos;s &amp;quot;Bowling Alone&amp;quot;&amp;#xD;Goode&amp;#xD;&amp;quot;As community starts to form, individuals have a natural tendency to &lt;/style&gt;&lt;style face="italic" font="default" size="100%"&gt;play community&lt;/style&gt;&lt;style face="normal" font="default" size="100%"&gt;--to act as if they are already a community that shares values and common beliefs.  Playing community, or &lt;/style&gt;&lt;style face="italic" font="default" size="100%"&gt;pseudocommunity&lt;/style&gt;&lt;style face="normal" font="default" size="100%"&gt;, draws on cultural notions of interaction often found in middle-class, typically White, settings.  The imperitive of pseudocommunity is to &amp;quot;behave &lt;/style&gt;&lt;style face="italic" font="default" size="100%"&gt;as if &lt;/style&gt;&lt;style face="normal" font="default" size="100%"&gt;we all agree. An interactional congeniality is maintainted by a surface friendliness, hypervigilant never to intrude on issues of personal space...&amp;quot;&amp;#xD;&amp;quot;This fact reveals the lie at the heart of pseudocommunity: &lt;/style&gt;&lt;style face="italic" font="default" size="100%"&gt;There is no authentic sense of shared communal space but only individuals interacting with other individuals&lt;/style&gt;&lt;style face="normal" font="default" size="100%"&gt;.&amp;quot;&amp;#xD;&amp;quot;Researchers often implicity treat professional community as generic, but teacher community differs--just as teaching does--by grade level, subject matter, and student population.&amp;quot;&amp;#xD;&amp;quot;If subject matters operate as distinct subcultures...,then it is not surprising to find that norms within subject matters differ as well.  We argue that sociocultural norms of the humanities differ in important ways from those in mathematics.&amp;quot;&amp;#xD;&amp;quot;One of the first lessons to be learned in the development of teacher community is that some people know things that others do not know and that the collective&amp;apos;s knowledge exceeds that of any individual.&amp;quot;&amp;#xD;&amp;quot;This short exchange illustrates the movement from pseudocommunity toward community.  In community, ideas are public property, their pursuit a communal responsibility.  Group members can be held accountable for contributing their individual insights to the larger group.&amp;quot;&amp;#xD;&amp;quot;...&lt;/style&gt;&lt;style face="italic" font="default" size="100%"&gt;intellectual midwifery&lt;/style&gt;&lt;style face="normal" font="default" size="100%"&gt; in which the group assists int he birth of new ideas.&amp;quot;&amp;#xD;&amp;quot;markers of community formation&amp;quot; --&amp;gt; &amp;quot;Formation of group identity and norms of interaction&amp;quot;...--&amp;gt;&amp;quot;Navigating fault lines&amp;quot;...--&amp;gt;&amp;quot;Negotiating the essential tension&amp;quot;...--&amp;gt;&amp;quot;Communal responsibility for individual growth&amp;quot;&lt;/style&gt;&lt;/research-notes&gt;&lt;/record&gt;&lt;/Cite&gt;&lt;/EndNote&gt;</w:instrText>
      </w:r>
      <w:r w:rsidRPr="00FF1698">
        <w:rPr>
          <w:rFonts w:asciiTheme="majorHAnsi" w:hAnsiTheme="majorHAnsi"/>
        </w:rPr>
        <w:fldChar w:fldCharType="separate"/>
      </w:r>
      <w:r w:rsidRPr="00FF1698">
        <w:rPr>
          <w:rFonts w:asciiTheme="majorHAnsi" w:hAnsiTheme="majorHAnsi"/>
        </w:rPr>
        <w:t>(Grossman et al., 2001)</w:t>
      </w:r>
      <w:r w:rsidRPr="00FF1698">
        <w:rPr>
          <w:rFonts w:asciiTheme="majorHAnsi" w:hAnsiTheme="majorHAnsi"/>
        </w:rPr>
        <w:fldChar w:fldCharType="end"/>
      </w:r>
      <w:r w:rsidRPr="00FF1698">
        <w:rPr>
          <w:rFonts w:asciiTheme="majorHAnsi" w:hAnsiTheme="majorHAnsi"/>
        </w:rPr>
        <w:t xml:space="preserve">.  </w:t>
      </w:r>
    </w:p>
    <w:p w:rsidR="00FF1698" w:rsidRDefault="00FF1698" w:rsidP="00FF1698">
      <w:pPr>
        <w:spacing w:after="0" w:line="240" w:lineRule="auto"/>
        <w:rPr>
          <w:rFonts w:asciiTheme="majorHAnsi" w:hAnsiTheme="majorHAnsi"/>
        </w:rPr>
      </w:pPr>
      <w:r w:rsidRPr="00FF1698">
        <w:rPr>
          <w:rFonts w:asciiTheme="majorHAnsi" w:hAnsiTheme="majorHAnsi"/>
        </w:rPr>
        <w:t>Teachers need to be motivated to improve their practice and to participate in making the community a success: they have to believe that the effort put forth in building and sustaining a community of practice is worthwhile.  In addition, the organizational/school culture has to be supportive of group learning, teachers’ continuing learning, teachers’ motivation, as well as teachers’ trust of one another and of the organization.  Without these prerequisites, teachers do not want to participate, teachers do not feel they need to participate, do not feel they should participate, and/or cannot participate because of outside constraint. "</w:t>
      </w:r>
    </w:p>
    <w:p w:rsidR="00FF1698" w:rsidRDefault="00FF1698" w:rsidP="00FF1698">
      <w:pPr>
        <w:spacing w:line="240" w:lineRule="auto"/>
        <w:rPr>
          <w:rFonts w:asciiTheme="majorHAnsi" w:hAnsiTheme="majorHAnsi"/>
        </w:rPr>
      </w:pPr>
      <w:r>
        <w:rPr>
          <w:rFonts w:asciiTheme="majorHAnsi" w:hAnsiTheme="majorHAnsi"/>
          <w:noProof/>
        </w:rPr>
        <w:drawing>
          <wp:inline distT="0" distB="0" distL="0" distR="0">
            <wp:extent cx="3501720" cy="1935126"/>
            <wp:effectExtent l="19050" t="0" r="34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3505223" cy="1937062"/>
                    </a:xfrm>
                    <a:prstGeom prst="rect">
                      <a:avLst/>
                    </a:prstGeom>
                    <a:noFill/>
                    <a:ln w="9525">
                      <a:noFill/>
                      <a:miter lim="800000"/>
                      <a:headEnd/>
                      <a:tailEnd/>
                    </a:ln>
                  </pic:spPr>
                </pic:pic>
              </a:graphicData>
            </a:graphic>
          </wp:inline>
        </w:drawing>
      </w:r>
    </w:p>
    <w:p w:rsidR="00FF1698" w:rsidRDefault="00FF1698" w:rsidP="00FF1698">
      <w:pPr>
        <w:spacing w:line="240" w:lineRule="auto"/>
        <w:rPr>
          <w:rFonts w:asciiTheme="majorHAnsi" w:hAnsiTheme="majorHAnsi" w:cs="AdvPTimes"/>
          <w:sz w:val="24"/>
          <w:szCs w:val="24"/>
        </w:rPr>
      </w:pPr>
      <w:r>
        <w:rPr>
          <w:rFonts w:asciiTheme="majorHAnsi" w:hAnsiTheme="majorHAnsi" w:cs="AdvPTimes"/>
          <w:sz w:val="24"/>
          <w:szCs w:val="24"/>
        </w:rPr>
        <w:br w:type="page"/>
      </w:r>
    </w:p>
    <w:p w:rsidR="00394AE5" w:rsidRDefault="00394AE5">
      <w:pPr>
        <w:rPr>
          <w:rFonts w:asciiTheme="majorHAnsi" w:hAnsiTheme="majorHAnsi" w:cs="AdvPTimes"/>
          <w:sz w:val="24"/>
          <w:szCs w:val="24"/>
        </w:rPr>
      </w:pPr>
    </w:p>
    <w:p w:rsidR="00045423" w:rsidRDefault="00045423" w:rsidP="00394AE5">
      <w:pPr>
        <w:contextualSpacing/>
        <w:rPr>
          <w:rFonts w:asciiTheme="majorHAnsi" w:hAnsiTheme="majorHAnsi" w:cs="AdvPTimes"/>
          <w:sz w:val="24"/>
          <w:szCs w:val="24"/>
        </w:rPr>
      </w:pPr>
    </w:p>
    <w:p w:rsidR="00AB691F" w:rsidRDefault="00AB691F" w:rsidP="00394AE5">
      <w:pPr>
        <w:contextualSpacing/>
        <w:rPr>
          <w:rFonts w:asciiTheme="majorHAnsi" w:hAnsiTheme="majorHAnsi" w:cs="AdvPTimes"/>
          <w:sz w:val="24"/>
          <w:szCs w:val="24"/>
        </w:rPr>
      </w:pPr>
      <w:r>
        <w:rPr>
          <w:rFonts w:asciiTheme="majorHAnsi" w:hAnsiTheme="majorHAnsi" w:cs="AdvPTimes"/>
          <w:sz w:val="24"/>
          <w:szCs w:val="24"/>
        </w:rPr>
        <w:t xml:space="preserve">What is a Theoretical Framework? - </w:t>
      </w:r>
      <w:hyperlink r:id="rId6" w:history="1">
        <w:r w:rsidRPr="00DD43B8">
          <w:rPr>
            <w:rStyle w:val="Hyperlink"/>
            <w:rFonts w:asciiTheme="majorHAnsi" w:hAnsiTheme="majorHAnsi" w:cs="AdvPTimes"/>
            <w:sz w:val="24"/>
            <w:szCs w:val="24"/>
          </w:rPr>
          <w:t>http://www.coedu.usf.edu/jwhite/secedseminar/theoryframe.pdf</w:t>
        </w:r>
      </w:hyperlink>
    </w:p>
    <w:p w:rsidR="00AB691F" w:rsidRDefault="00AB691F" w:rsidP="00394AE5">
      <w:pPr>
        <w:contextualSpacing/>
        <w:rPr>
          <w:rFonts w:asciiTheme="majorHAnsi" w:hAnsiTheme="majorHAnsi" w:cs="AdvPTimes"/>
          <w:sz w:val="24"/>
          <w:szCs w:val="24"/>
        </w:rPr>
      </w:pPr>
    </w:p>
    <w:p w:rsidR="00AB691F" w:rsidRDefault="00AB691F" w:rsidP="00394AE5">
      <w:pPr>
        <w:contextualSpacing/>
        <w:rPr>
          <w:rFonts w:asciiTheme="majorHAnsi" w:hAnsiTheme="majorHAnsi" w:cs="AdvPTimes"/>
          <w:sz w:val="24"/>
          <w:szCs w:val="24"/>
        </w:rPr>
      </w:pPr>
      <w:r>
        <w:rPr>
          <w:rFonts w:asciiTheme="majorHAnsi" w:hAnsiTheme="majorHAnsi" w:cs="AdvPTimes"/>
          <w:sz w:val="24"/>
          <w:szCs w:val="24"/>
        </w:rPr>
        <w:t xml:space="preserve">Elements of Research: Theoretical Framework - </w:t>
      </w:r>
      <w:hyperlink r:id="rId7" w:history="1">
        <w:r w:rsidRPr="00DD43B8">
          <w:rPr>
            <w:rStyle w:val="Hyperlink"/>
            <w:rFonts w:asciiTheme="majorHAnsi" w:hAnsiTheme="majorHAnsi" w:cs="AdvPTimes"/>
            <w:sz w:val="24"/>
            <w:szCs w:val="24"/>
          </w:rPr>
          <w:t>http://www.analytictech.com/mb313/elements.htm</w:t>
        </w:r>
      </w:hyperlink>
    </w:p>
    <w:p w:rsidR="00AB691F" w:rsidRDefault="00AB691F" w:rsidP="00394AE5">
      <w:pPr>
        <w:contextualSpacing/>
        <w:rPr>
          <w:rFonts w:asciiTheme="majorHAnsi" w:hAnsiTheme="majorHAnsi" w:cs="AdvPTimes"/>
          <w:sz w:val="24"/>
          <w:szCs w:val="24"/>
        </w:rPr>
      </w:pPr>
    </w:p>
    <w:p w:rsidR="00AB691F" w:rsidRDefault="00AB691F" w:rsidP="00394AE5">
      <w:pPr>
        <w:contextualSpacing/>
        <w:rPr>
          <w:rFonts w:asciiTheme="majorHAnsi" w:hAnsiTheme="majorHAnsi" w:cs="AdvPTimes"/>
          <w:sz w:val="24"/>
          <w:szCs w:val="24"/>
        </w:rPr>
      </w:pPr>
      <w:r>
        <w:rPr>
          <w:rFonts w:asciiTheme="majorHAnsi" w:hAnsiTheme="majorHAnsi" w:cs="AdvPTimes"/>
          <w:sz w:val="24"/>
          <w:szCs w:val="24"/>
        </w:rPr>
        <w:t xml:space="preserve">Logical Structure, Theoretical Framework - </w:t>
      </w:r>
      <w:hyperlink r:id="rId8" w:history="1">
        <w:r w:rsidRPr="00DD43B8">
          <w:rPr>
            <w:rStyle w:val="Hyperlink"/>
            <w:rFonts w:asciiTheme="majorHAnsi" w:hAnsiTheme="majorHAnsi" w:cs="AdvPTimes"/>
            <w:sz w:val="24"/>
            <w:szCs w:val="24"/>
          </w:rPr>
          <w:t>http://education.astate.edu/dcline/guide/framework.html</w:t>
        </w:r>
      </w:hyperlink>
    </w:p>
    <w:p w:rsidR="00AB691F" w:rsidRDefault="00AB691F" w:rsidP="00394AE5">
      <w:pPr>
        <w:contextualSpacing/>
        <w:rPr>
          <w:rFonts w:asciiTheme="majorHAnsi" w:hAnsiTheme="majorHAnsi" w:cs="AdvPTimes"/>
          <w:sz w:val="24"/>
          <w:szCs w:val="24"/>
        </w:rPr>
      </w:pPr>
    </w:p>
    <w:p w:rsidR="00AB691F" w:rsidRPr="00394AE5" w:rsidRDefault="00AB691F" w:rsidP="00394AE5">
      <w:pPr>
        <w:contextualSpacing/>
        <w:rPr>
          <w:rFonts w:asciiTheme="majorHAnsi" w:hAnsiTheme="majorHAnsi" w:cs="AdvPTimes"/>
          <w:sz w:val="24"/>
          <w:szCs w:val="24"/>
        </w:rPr>
      </w:pPr>
    </w:p>
    <w:sectPr w:rsidR="00AB691F" w:rsidRPr="00394AE5" w:rsidSect="00BD30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dvPTimes">
    <w:panose1 w:val="00000000000000000000"/>
    <w:charset w:val="00"/>
    <w:family w:val="roman"/>
    <w:notTrueType/>
    <w:pitch w:val="default"/>
    <w:sig w:usb0="00000003" w:usb1="00000000" w:usb2="00000000" w:usb3="00000000" w:csb0="00000001" w:csb1="00000000"/>
  </w:font>
  <w:font w:name="AdvPTimesI">
    <w:panose1 w:val="00000000000000000000"/>
    <w:charset w:val="00"/>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defaultTabStop w:val="720"/>
  <w:characterSpacingControl w:val="doNotCompress"/>
  <w:compat/>
  <w:rsids>
    <w:rsidRoot w:val="00045423"/>
    <w:rsid w:val="00045423"/>
    <w:rsid w:val="00394AE5"/>
    <w:rsid w:val="00AB691F"/>
    <w:rsid w:val="00BD30F0"/>
    <w:rsid w:val="00FF16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0F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54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5423"/>
    <w:rPr>
      <w:rFonts w:ascii="Tahoma" w:hAnsi="Tahoma" w:cs="Tahoma"/>
      <w:sz w:val="16"/>
      <w:szCs w:val="16"/>
    </w:rPr>
  </w:style>
  <w:style w:type="character" w:styleId="Hyperlink">
    <w:name w:val="Hyperlink"/>
    <w:basedOn w:val="DefaultParagraphFont"/>
    <w:uiPriority w:val="99"/>
    <w:unhideWhenUsed/>
    <w:rsid w:val="00AB691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ducation.astate.edu/dcline/guide/framework.html" TargetMode="External"/><Relationship Id="rId3" Type="http://schemas.openxmlformats.org/officeDocument/2006/relationships/webSettings" Target="webSettings.xml"/><Relationship Id="rId7" Type="http://schemas.openxmlformats.org/officeDocument/2006/relationships/hyperlink" Target="http://www.analytictech.com/mb313/element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edu.usf.edu/jwhite/secedseminar/theoryframe.pdf" TargetMode="Externa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6</Pages>
  <Words>3292</Words>
  <Characters>18767</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S</cp:lastModifiedBy>
  <cp:revision>1</cp:revision>
  <dcterms:created xsi:type="dcterms:W3CDTF">2011-10-05T15:43:00Z</dcterms:created>
  <dcterms:modified xsi:type="dcterms:W3CDTF">2011-10-05T16:49:00Z</dcterms:modified>
</cp:coreProperties>
</file>